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D4002" w14:textId="330EABC0" w:rsidR="00EC2517" w:rsidRDefault="00EC2517">
      <w:pPr>
        <w:rPr>
          <w:rFonts w:ascii="Times New Roman" w:eastAsia="Times New Roman" w:hAnsi="Times New Roman" w:cs="Times New Roman"/>
          <w:sz w:val="24"/>
          <w:szCs w:val="24"/>
        </w:rPr>
        <w:sectPr w:rsidR="00EC2517" w:rsidSect="00836990">
          <w:headerReference w:type="first" r:id="rId8"/>
          <w:pgSz w:w="11906" w:h="16838"/>
          <w:pgMar w:top="568" w:right="851" w:bottom="851" w:left="851" w:header="567" w:footer="1134" w:gutter="0"/>
          <w:pgNumType w:start="1"/>
          <w:cols w:space="720"/>
          <w:titlePg/>
        </w:sectPr>
      </w:pPr>
    </w:p>
    <w:p w14:paraId="1EF45E49" w14:textId="6018790A" w:rsidR="00EC2517" w:rsidRDefault="00DB0D8D">
      <w:pPr>
        <w:spacing w:after="0" w:line="240" w:lineRule="auto"/>
        <w:rPr>
          <w:rFonts w:ascii="Times New Roman" w:eastAsia="Times New Roman" w:hAnsi="Times New Roman" w:cs="Times New Roman"/>
          <w:sz w:val="28"/>
          <w:szCs w:val="28"/>
        </w:rPr>
      </w:pPr>
      <w:bookmarkStart w:id="0" w:name="_heading=h.ug9ut3fhegsq" w:colFirst="0" w:colLast="0"/>
      <w:bookmarkEnd w:id="0"/>
      <w:r>
        <w:rPr>
          <w:rFonts w:ascii="Times New Roman" w:eastAsia="Times New Roman" w:hAnsi="Times New Roman" w:cs="Times New Roman"/>
          <w:sz w:val="28"/>
          <w:szCs w:val="28"/>
        </w:rPr>
        <w:lastRenderedPageBreak/>
        <w:t>УДК 661.961</w:t>
      </w:r>
    </w:p>
    <w:p w14:paraId="1FD1E3FF" w14:textId="77777777" w:rsidR="00EC2517" w:rsidRDefault="00DB0D8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И.И. Иванов</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П.П. Петров</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p>
    <w:p w14:paraId="5224806F" w14:textId="77777777" w:rsidR="00EC2517" w:rsidRDefault="00DB0D8D">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Санкт-Петербургский политехнический университет Петра Великого</w:t>
      </w:r>
    </w:p>
    <w:p w14:paraId="5D5FF126" w14:textId="77777777" w:rsidR="00EC2517" w:rsidRDefault="00DB0D8D">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ООО «Водород»</w:t>
      </w:r>
    </w:p>
    <w:p w14:paraId="44B31BF1" w14:textId="77777777" w:rsidR="00EC2517" w:rsidRDefault="00EC2517">
      <w:pPr>
        <w:spacing w:after="0" w:line="240" w:lineRule="auto"/>
        <w:ind w:firstLine="709"/>
        <w:jc w:val="right"/>
        <w:rPr>
          <w:rFonts w:ascii="Times New Roman" w:eastAsia="Times New Roman" w:hAnsi="Times New Roman" w:cs="Times New Roman"/>
          <w:sz w:val="20"/>
          <w:szCs w:val="20"/>
        </w:rPr>
      </w:pPr>
    </w:p>
    <w:p w14:paraId="2643BDED"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ВЫЯВЛЕНИЕ ПЕРСПЕКТИВ ХРАНЕНИЯ И ТРАНСПОРТИРОВКИ ВОДОРОДА </w:t>
      </w:r>
    </w:p>
    <w:p w14:paraId="0FD9EA9E" w14:textId="77777777" w:rsidR="00EC2517" w:rsidRPr="00CD7A28" w:rsidRDefault="00DB0D8D">
      <w:pPr>
        <w:spacing w:after="0" w:line="240" w:lineRule="auto"/>
        <w:jc w:val="center"/>
        <w:rPr>
          <w:rFonts w:ascii="Times New Roman" w:eastAsia="Times New Roman" w:hAnsi="Times New Roman" w:cs="Times New Roman"/>
          <w:sz w:val="28"/>
          <w:szCs w:val="28"/>
          <w:lang w:val="en-US"/>
        </w:rPr>
      </w:pPr>
      <w:r w:rsidRPr="00CD7A28">
        <w:rPr>
          <w:rFonts w:ascii="Times New Roman" w:eastAsia="Times New Roman" w:hAnsi="Times New Roman" w:cs="Times New Roman"/>
          <w:sz w:val="28"/>
          <w:szCs w:val="28"/>
          <w:lang w:val="en-US"/>
        </w:rPr>
        <w:t>IDENTIFICATION OF PROSPECTS FOR HYDROGEN STORAGE AND TRANSPORTATION</w:t>
      </w:r>
    </w:p>
    <w:p w14:paraId="360A67BF" w14:textId="77777777" w:rsidR="00EC2517" w:rsidRDefault="00DB0D8D">
      <w:pPr>
        <w:spacing w:after="0" w:line="240" w:lineRule="auto"/>
        <w:jc w:val="both"/>
        <w:rPr>
          <w:rFonts w:ascii="Times New Roman" w:eastAsia="Times New Roman" w:hAnsi="Times New Roman" w:cs="Times New Roman"/>
          <w:sz w:val="28"/>
          <w:szCs w:val="28"/>
        </w:rPr>
      </w:pPr>
      <w:r w:rsidRPr="00CD7A28">
        <w:rPr>
          <w:rFonts w:ascii="Times New Roman" w:eastAsia="Times New Roman" w:hAnsi="Times New Roman" w:cs="Times New Roman"/>
          <w:sz w:val="28"/>
          <w:szCs w:val="28"/>
          <w:lang w:val="en-US"/>
        </w:rPr>
        <w:tab/>
      </w:r>
      <w:r>
        <w:rPr>
          <w:rFonts w:ascii="Times New Roman" w:eastAsia="Times New Roman" w:hAnsi="Times New Roman" w:cs="Times New Roman"/>
          <w:i/>
          <w:iCs/>
          <w:sz w:val="28"/>
          <w:szCs w:val="28"/>
        </w:rPr>
        <w:t>Аннотация.</w:t>
      </w:r>
      <w:r>
        <w:rPr>
          <w:rFonts w:ascii="Times New Roman" w:eastAsia="Times New Roman" w:hAnsi="Times New Roman" w:cs="Times New Roman"/>
          <w:sz w:val="28"/>
          <w:szCs w:val="28"/>
        </w:rPr>
        <w:t xml:space="preserve"> Статья посвящена анализу перспективных технологий хранения и транспортировки водорода в контексте декарбонизации энергетических систем после принятия Парижского соглашения по климату. На основе сравнительной оценки способов хранения водорода (низко- и высокое давление, гидриды, сжижение) авторы выявляют наиболее эффективные решения с точки зрения удельного объёма, массы, энергозатрат и стоимости. Результаты показывают, что сжижение водорода обладает оптимальными показателями для хранения и транспортировки, особенно в условиях России. В работе также рассматриваются ключевые риски и сдерживающие факторы развития водородной энергетики.</w:t>
      </w:r>
    </w:p>
    <w:p w14:paraId="483AD4A4" w14:textId="77777777" w:rsidR="00EC2517" w:rsidRPr="00CD7A28" w:rsidRDefault="00DB0D8D">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ab/>
      </w:r>
      <w:r w:rsidRPr="00CD7A28">
        <w:rPr>
          <w:rFonts w:ascii="Times New Roman" w:eastAsia="Times New Roman" w:hAnsi="Times New Roman" w:cs="Times New Roman"/>
          <w:i/>
          <w:iCs/>
          <w:sz w:val="28"/>
          <w:szCs w:val="28"/>
          <w:lang w:val="en-US"/>
        </w:rPr>
        <w:t xml:space="preserve">Annotation. </w:t>
      </w:r>
      <w:r w:rsidRPr="00CD7A28">
        <w:rPr>
          <w:rFonts w:ascii="Times New Roman" w:eastAsia="Times New Roman" w:hAnsi="Times New Roman" w:cs="Times New Roman"/>
          <w:sz w:val="28"/>
          <w:szCs w:val="28"/>
          <w:lang w:val="en-US"/>
        </w:rPr>
        <w:t>The article is devoted to the analysis of promising technologies for hydrogen storage and transportation in the context of decarbonization of energy systems after the adoption of the Paris Climate Agreement. Based on a comparative assessment of hydrogen storage methods (low and high pressure, hydrides, liquefaction), the authors identify the most effective solutions in terms of specific volume, mass, energy consumption and cost. The results show that hydrogen liquefaction has optimal performance for storage and transportation, especially in Russia. The paper also examines the key risks and constraints to the development of hydrogen energy.</w:t>
      </w:r>
    </w:p>
    <w:p w14:paraId="13FC71A5" w14:textId="77777777" w:rsidR="00EC2517" w:rsidRDefault="00DB0D8D">
      <w:pPr>
        <w:spacing w:after="0" w:line="240" w:lineRule="auto"/>
        <w:jc w:val="both"/>
        <w:rPr>
          <w:rFonts w:ascii="Times New Roman" w:eastAsia="Times New Roman" w:hAnsi="Times New Roman" w:cs="Times New Roman"/>
          <w:sz w:val="28"/>
          <w:szCs w:val="28"/>
        </w:rPr>
      </w:pPr>
      <w:r w:rsidRPr="00CD7A28">
        <w:rPr>
          <w:rFonts w:ascii="Times New Roman" w:eastAsia="Times New Roman" w:hAnsi="Times New Roman" w:cs="Times New Roman"/>
          <w:sz w:val="28"/>
          <w:szCs w:val="28"/>
          <w:lang w:val="en-US"/>
        </w:rPr>
        <w:tab/>
      </w:r>
      <w:r>
        <w:rPr>
          <w:rFonts w:ascii="Times New Roman" w:eastAsia="Times New Roman" w:hAnsi="Times New Roman" w:cs="Times New Roman"/>
          <w:i/>
          <w:iCs/>
          <w:sz w:val="28"/>
          <w:szCs w:val="28"/>
        </w:rPr>
        <w:t>Ключевые слова.</w:t>
      </w:r>
      <w:r>
        <w:rPr>
          <w:rFonts w:ascii="Times New Roman" w:eastAsia="Times New Roman" w:hAnsi="Times New Roman" w:cs="Times New Roman"/>
          <w:sz w:val="28"/>
          <w:szCs w:val="28"/>
        </w:rPr>
        <w:t xml:space="preserve"> декарбонизация, водородная энергетика, хранение водорода, транспортировка водорода, сжиженный водород, Парижское соглашение, энергетические системы, стоимость хранения, энергоэффективность.</w:t>
      </w:r>
    </w:p>
    <w:p w14:paraId="56A08727" w14:textId="77777777" w:rsidR="00EC2517" w:rsidRPr="00CD7A28" w:rsidRDefault="00DB0D8D">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ab/>
      </w:r>
      <w:r w:rsidRPr="00CD7A28">
        <w:rPr>
          <w:rFonts w:ascii="Times New Roman" w:eastAsia="Times New Roman" w:hAnsi="Times New Roman" w:cs="Times New Roman"/>
          <w:i/>
          <w:iCs/>
          <w:sz w:val="28"/>
          <w:szCs w:val="28"/>
          <w:lang w:val="en-US"/>
        </w:rPr>
        <w:t>Keywords. decarbonization, hydrogen energy, hydrogen storage, hydrogen transportation, liquefied hydrogen, Paris Agreement, energy systems, cost of storage, energy efficiency.</w:t>
      </w:r>
    </w:p>
    <w:p w14:paraId="676DD68E" w14:textId="77777777" w:rsidR="00EC2517" w:rsidRDefault="00DB0D8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Введение.</w:t>
      </w:r>
      <w:r>
        <w:rPr>
          <w:rFonts w:ascii="Times New Roman" w:eastAsia="Times New Roman" w:hAnsi="Times New Roman" w:cs="Times New Roman"/>
          <w:sz w:val="28"/>
          <w:szCs w:val="28"/>
        </w:rPr>
        <w:t xml:space="preserve"> После вступления в силу Парижского соглашения по климату в 2016 г выросла актуальность декарбонизации энергетических систем. Однако без внедрения новых технологий, которые …. </w:t>
      </w:r>
    </w:p>
    <w:p w14:paraId="7BCCFB4C" w14:textId="77777777" w:rsidR="00EC2517" w:rsidRDefault="00DB0D8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Актуальность. </w:t>
      </w:r>
      <w:r>
        <w:rPr>
          <w:rFonts w:ascii="Times New Roman" w:eastAsia="Times New Roman" w:hAnsi="Times New Roman" w:cs="Times New Roman"/>
          <w:sz w:val="28"/>
          <w:szCs w:val="28"/>
        </w:rPr>
        <w:t>Помимо солнечной и ветроэнергетики на мировом рынке набирает популярность водородная энергетика….</w:t>
      </w:r>
    </w:p>
    <w:p w14:paraId="01D17A2A" w14:textId="77777777" w:rsidR="00EC2517" w:rsidRDefault="00DB0D8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Цель исследования.</w:t>
      </w:r>
      <w:r>
        <w:rPr>
          <w:rFonts w:ascii="Times New Roman" w:eastAsia="Times New Roman" w:hAnsi="Times New Roman" w:cs="Times New Roman"/>
          <w:sz w:val="28"/>
          <w:szCs w:val="28"/>
        </w:rPr>
        <w:t xml:space="preserve"> Выявление наиболее перспективных водородных технологий в условиях …. Объектом исследования является …, а предметом исследования является ….  С учетом поставленной цели в исследовании решались следующие задачи:</w:t>
      </w:r>
    </w:p>
    <w:p w14:paraId="5C4851C8" w14:textId="77777777" w:rsidR="00EC2517" w:rsidRDefault="00DB0D8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w:t>
      </w:r>
    </w:p>
    <w:p w14:paraId="5D764C29" w14:textId="77777777" w:rsidR="00EC2517" w:rsidRDefault="00DB0D8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t>
      </w:r>
    </w:p>
    <w:p w14:paraId="1E549DF5" w14:textId="77777777" w:rsidR="00EC2517" w:rsidRDefault="00DB0D8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w:t>
      </w:r>
    </w:p>
    <w:p w14:paraId="2F3C8A69" w14:textId="77777777" w:rsidR="00EC2517" w:rsidRDefault="00DB0D8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Проанализировав способы хранения и транспортировки (таблица 1, рисунок 1), можно сказать, что сжижение водорода обладает оптимальными показателями стоимости, удельного объёма, массы хранения и транспортировки.</w:t>
      </w:r>
    </w:p>
    <w:p w14:paraId="40969FC8" w14:textId="77777777" w:rsidR="00EC2517" w:rsidRDefault="00EC2517">
      <w:pPr>
        <w:spacing w:after="0" w:line="240" w:lineRule="auto"/>
        <w:rPr>
          <w:rFonts w:ascii="Times New Roman" w:eastAsia="Times New Roman" w:hAnsi="Times New Roman" w:cs="Times New Roman"/>
          <w:sz w:val="24"/>
          <w:szCs w:val="24"/>
        </w:rPr>
      </w:pPr>
    </w:p>
    <w:p w14:paraId="6D7C99FD" w14:textId="77777777" w:rsidR="00EC2517" w:rsidRDefault="00DB0D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 Основные показатели способов хранения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[2][3]</w:t>
      </w:r>
    </w:p>
    <w:tbl>
      <w:tblPr>
        <w:tblStyle w:val="a5"/>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2"/>
        <w:gridCol w:w="1716"/>
        <w:gridCol w:w="1598"/>
        <w:gridCol w:w="1752"/>
        <w:gridCol w:w="1750"/>
      </w:tblGrid>
      <w:tr w:rsidR="00EC2517" w14:paraId="4E4CDAEA" w14:textId="77777777">
        <w:trPr>
          <w:trHeight w:val="20"/>
          <w:jc w:val="center"/>
        </w:trPr>
        <w:tc>
          <w:tcPr>
            <w:tcW w:w="2812" w:type="dxa"/>
            <w:vAlign w:val="center"/>
          </w:tcPr>
          <w:p w14:paraId="602C730C"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 хранения\показатель</w:t>
            </w:r>
          </w:p>
        </w:tc>
        <w:tc>
          <w:tcPr>
            <w:tcW w:w="1716" w:type="dxa"/>
            <w:vAlign w:val="center"/>
          </w:tcPr>
          <w:p w14:paraId="24468208"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Удельное потребление энергии</w:t>
            </w:r>
          </w:p>
        </w:tc>
        <w:tc>
          <w:tcPr>
            <w:tcW w:w="1598" w:type="dxa"/>
            <w:vAlign w:val="center"/>
          </w:tcPr>
          <w:p w14:paraId="3FF72B3F"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Удельный объем хранения</w:t>
            </w:r>
          </w:p>
        </w:tc>
        <w:tc>
          <w:tcPr>
            <w:tcW w:w="1752" w:type="dxa"/>
            <w:vAlign w:val="center"/>
          </w:tcPr>
          <w:p w14:paraId="0842EE86"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Удельная масса хранения</w:t>
            </w:r>
          </w:p>
        </w:tc>
        <w:tc>
          <w:tcPr>
            <w:tcW w:w="1750" w:type="dxa"/>
            <w:vAlign w:val="center"/>
          </w:tcPr>
          <w:p w14:paraId="0AC54DF8"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Стоимость хранения водорода </w:t>
            </w:r>
          </w:p>
        </w:tc>
      </w:tr>
      <w:tr w:rsidR="00EC2517" w14:paraId="65CADF8E" w14:textId="77777777">
        <w:trPr>
          <w:trHeight w:val="20"/>
          <w:jc w:val="center"/>
        </w:trPr>
        <w:tc>
          <w:tcPr>
            <w:tcW w:w="2812" w:type="dxa"/>
            <w:vAlign w:val="center"/>
          </w:tcPr>
          <w:p w14:paraId="75772935"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Единицы</w:t>
            </w:r>
          </w:p>
        </w:tc>
        <w:tc>
          <w:tcPr>
            <w:tcW w:w="1716" w:type="dxa"/>
            <w:vAlign w:val="center"/>
          </w:tcPr>
          <w:p w14:paraId="7774CD29"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кВт-ч/кг Н</w:t>
            </w:r>
            <w:r>
              <w:rPr>
                <w:rFonts w:ascii="Times New Roman" w:eastAsia="Times New Roman" w:hAnsi="Times New Roman" w:cs="Times New Roman"/>
                <w:sz w:val="28"/>
                <w:szCs w:val="28"/>
                <w:vertAlign w:val="subscript"/>
              </w:rPr>
              <w:t>2</w:t>
            </w:r>
          </w:p>
        </w:tc>
        <w:tc>
          <w:tcPr>
            <w:tcW w:w="1598" w:type="dxa"/>
            <w:vAlign w:val="center"/>
          </w:tcPr>
          <w:p w14:paraId="56EFA849"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/кг Н</w:t>
            </w:r>
            <w:r>
              <w:rPr>
                <w:rFonts w:ascii="Times New Roman" w:eastAsia="Times New Roman" w:hAnsi="Times New Roman" w:cs="Times New Roman"/>
                <w:sz w:val="28"/>
                <w:szCs w:val="28"/>
                <w:vertAlign w:val="subscript"/>
              </w:rPr>
              <w:t>2</w:t>
            </w:r>
          </w:p>
        </w:tc>
        <w:tc>
          <w:tcPr>
            <w:tcW w:w="1752" w:type="dxa"/>
            <w:vAlign w:val="center"/>
          </w:tcPr>
          <w:p w14:paraId="4317E53E"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кг/кг Н</w:t>
            </w:r>
            <w:r>
              <w:rPr>
                <w:rFonts w:ascii="Times New Roman" w:eastAsia="Times New Roman" w:hAnsi="Times New Roman" w:cs="Times New Roman"/>
                <w:sz w:val="28"/>
                <w:szCs w:val="28"/>
                <w:vertAlign w:val="subscript"/>
              </w:rPr>
              <w:t>2</w:t>
            </w:r>
          </w:p>
        </w:tc>
        <w:tc>
          <w:tcPr>
            <w:tcW w:w="1750" w:type="dxa"/>
            <w:vAlign w:val="center"/>
          </w:tcPr>
          <w:p w14:paraId="06C24482"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 H</w:t>
            </w:r>
            <w:r>
              <w:rPr>
                <w:rFonts w:ascii="Times New Roman" w:eastAsia="Times New Roman" w:hAnsi="Times New Roman" w:cs="Times New Roman"/>
                <w:sz w:val="28"/>
                <w:szCs w:val="28"/>
                <w:vertAlign w:val="subscript"/>
              </w:rPr>
              <w:t>2</w:t>
            </w:r>
          </w:p>
        </w:tc>
      </w:tr>
      <w:tr w:rsidR="00EC2517" w14:paraId="7AF1E555" w14:textId="77777777">
        <w:trPr>
          <w:trHeight w:val="20"/>
          <w:jc w:val="center"/>
        </w:trPr>
        <w:tc>
          <w:tcPr>
            <w:tcW w:w="2812" w:type="dxa"/>
            <w:vAlign w:val="center"/>
          </w:tcPr>
          <w:p w14:paraId="32EF2A7F"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Водород при низком давлении</w:t>
            </w:r>
          </w:p>
        </w:tc>
        <w:tc>
          <w:tcPr>
            <w:tcW w:w="1716" w:type="dxa"/>
            <w:vAlign w:val="center"/>
          </w:tcPr>
          <w:p w14:paraId="1C3E10CC"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0,39</w:t>
            </w:r>
          </w:p>
        </w:tc>
        <w:tc>
          <w:tcPr>
            <w:tcW w:w="1598" w:type="dxa"/>
            <w:vAlign w:val="center"/>
          </w:tcPr>
          <w:p w14:paraId="1417209A"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1020</w:t>
            </w:r>
          </w:p>
        </w:tc>
        <w:tc>
          <w:tcPr>
            <w:tcW w:w="1752" w:type="dxa"/>
            <w:vAlign w:val="center"/>
          </w:tcPr>
          <w:p w14:paraId="564A7A27"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p>
        </w:tc>
        <w:tc>
          <w:tcPr>
            <w:tcW w:w="1750" w:type="dxa"/>
            <w:vAlign w:val="center"/>
          </w:tcPr>
          <w:p w14:paraId="023D0B94" w14:textId="77777777" w:rsidR="00EC2517" w:rsidRDefault="00DB0D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r w:rsidR="00EC2517" w14:paraId="399EC7B7" w14:textId="77777777">
        <w:trPr>
          <w:trHeight w:val="20"/>
          <w:jc w:val="center"/>
        </w:trPr>
        <w:tc>
          <w:tcPr>
            <w:tcW w:w="2812" w:type="dxa"/>
            <w:vAlign w:val="center"/>
          </w:tcPr>
          <w:p w14:paraId="2CF7F368"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Водород при высоком давлении </w:t>
            </w:r>
          </w:p>
        </w:tc>
        <w:tc>
          <w:tcPr>
            <w:tcW w:w="1716" w:type="dxa"/>
            <w:vAlign w:val="center"/>
          </w:tcPr>
          <w:p w14:paraId="3F419B0C"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0,93</w:t>
            </w:r>
          </w:p>
        </w:tc>
        <w:tc>
          <w:tcPr>
            <w:tcW w:w="1598" w:type="dxa"/>
            <w:vAlign w:val="center"/>
          </w:tcPr>
          <w:p w14:paraId="52E5F306"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81</w:t>
            </w:r>
          </w:p>
        </w:tc>
        <w:tc>
          <w:tcPr>
            <w:tcW w:w="1752" w:type="dxa"/>
            <w:vAlign w:val="center"/>
          </w:tcPr>
          <w:p w14:paraId="5AA91AF3"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16,0</w:t>
            </w:r>
          </w:p>
        </w:tc>
        <w:tc>
          <w:tcPr>
            <w:tcW w:w="1750" w:type="dxa"/>
            <w:vAlign w:val="center"/>
          </w:tcPr>
          <w:p w14:paraId="247BBA17" w14:textId="77777777" w:rsidR="00EC2517" w:rsidRDefault="00DB0D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r w:rsidR="00EC2517" w14:paraId="6C882CCA" w14:textId="77777777">
        <w:trPr>
          <w:trHeight w:val="20"/>
          <w:jc w:val="center"/>
        </w:trPr>
        <w:tc>
          <w:tcPr>
            <w:tcW w:w="2812" w:type="dxa"/>
            <w:vAlign w:val="center"/>
          </w:tcPr>
          <w:p w14:paraId="1B609CA3"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Водород в гидридах</w:t>
            </w:r>
          </w:p>
        </w:tc>
        <w:tc>
          <w:tcPr>
            <w:tcW w:w="1716" w:type="dxa"/>
            <w:vAlign w:val="center"/>
          </w:tcPr>
          <w:p w14:paraId="6465D4EE"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1,16</w:t>
            </w:r>
          </w:p>
        </w:tc>
        <w:tc>
          <w:tcPr>
            <w:tcW w:w="1598" w:type="dxa"/>
            <w:vAlign w:val="center"/>
          </w:tcPr>
          <w:p w14:paraId="31A6A5BF"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22</w:t>
            </w:r>
          </w:p>
        </w:tc>
        <w:tc>
          <w:tcPr>
            <w:tcW w:w="1752" w:type="dxa"/>
            <w:vAlign w:val="center"/>
          </w:tcPr>
          <w:p w14:paraId="613170D1"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76,9</w:t>
            </w:r>
          </w:p>
        </w:tc>
        <w:tc>
          <w:tcPr>
            <w:tcW w:w="1750" w:type="dxa"/>
            <w:vAlign w:val="center"/>
          </w:tcPr>
          <w:p w14:paraId="40C1F95D" w14:textId="77777777" w:rsidR="00EC2517" w:rsidRDefault="00DB0D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EC2517" w14:paraId="13DB60FC" w14:textId="77777777">
        <w:trPr>
          <w:trHeight w:val="20"/>
          <w:jc w:val="center"/>
        </w:trPr>
        <w:tc>
          <w:tcPr>
            <w:tcW w:w="2812" w:type="dxa"/>
            <w:vAlign w:val="center"/>
          </w:tcPr>
          <w:p w14:paraId="3F2B3094"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Сжиженный водород</w:t>
            </w:r>
          </w:p>
        </w:tc>
        <w:tc>
          <w:tcPr>
            <w:tcW w:w="1716" w:type="dxa"/>
            <w:vAlign w:val="center"/>
          </w:tcPr>
          <w:p w14:paraId="76F36685"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10,5</w:t>
            </w:r>
          </w:p>
        </w:tc>
        <w:tc>
          <w:tcPr>
            <w:tcW w:w="1598" w:type="dxa"/>
            <w:vAlign w:val="center"/>
          </w:tcPr>
          <w:p w14:paraId="72B0E477"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14</w:t>
            </w:r>
          </w:p>
        </w:tc>
        <w:tc>
          <w:tcPr>
            <w:tcW w:w="1752" w:type="dxa"/>
            <w:vAlign w:val="center"/>
          </w:tcPr>
          <w:p w14:paraId="07399581"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7,0</w:t>
            </w:r>
          </w:p>
        </w:tc>
        <w:tc>
          <w:tcPr>
            <w:tcW w:w="1750" w:type="dxa"/>
            <w:vAlign w:val="center"/>
          </w:tcPr>
          <w:p w14:paraId="47293B79" w14:textId="77777777" w:rsidR="00EC2517" w:rsidRDefault="00DB0D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bl>
    <w:p w14:paraId="622456B9" w14:textId="77777777" w:rsidR="00EC2517" w:rsidRDefault="00EC2517">
      <w:pPr>
        <w:spacing w:after="0" w:line="240" w:lineRule="auto"/>
        <w:rPr>
          <w:rFonts w:ascii="Times New Roman" w:eastAsia="Times New Roman" w:hAnsi="Times New Roman" w:cs="Times New Roman"/>
          <w:sz w:val="28"/>
          <w:szCs w:val="28"/>
        </w:rPr>
      </w:pPr>
    </w:p>
    <w:p w14:paraId="271FD35F" w14:textId="77777777" w:rsidR="00EC2517" w:rsidRDefault="00DB0D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AE69B3E" wp14:editId="1BDE6AD3">
            <wp:extent cx="5988007" cy="334557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88007" cy="3345576"/>
                    </a:xfrm>
                    <a:prstGeom prst="rect">
                      <a:avLst/>
                    </a:prstGeom>
                    <a:ln/>
                  </pic:spPr>
                </pic:pic>
              </a:graphicData>
            </a:graphic>
          </wp:inline>
        </w:drawing>
      </w:r>
    </w:p>
    <w:p w14:paraId="0AFCA707" w14:textId="77777777" w:rsidR="00EC2517" w:rsidRDefault="00DB0D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 – Стоимость хранения и транспортировки водорода по трубопроводу и судну, а также стоимость сжижения и конверсии водорода [1]</w:t>
      </w:r>
    </w:p>
    <w:p w14:paraId="19A05DE9" w14:textId="77777777" w:rsidR="00EC2517" w:rsidRDefault="00EC2517">
      <w:pPr>
        <w:spacing w:after="0" w:line="240" w:lineRule="auto"/>
        <w:jc w:val="both"/>
        <w:rPr>
          <w:rFonts w:ascii="Times New Roman" w:eastAsia="Times New Roman" w:hAnsi="Times New Roman" w:cs="Times New Roman"/>
          <w:sz w:val="28"/>
          <w:szCs w:val="28"/>
        </w:rPr>
      </w:pPr>
    </w:p>
    <w:p w14:paraId="383F671F" w14:textId="77777777" w:rsidR="00EC2517" w:rsidRDefault="00DB0D8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рисков позволил выявить ключевые сдерживающие факторы: </w:t>
      </w:r>
    </w:p>
    <w:p w14:paraId="7363E1EE" w14:textId="77777777" w:rsidR="00EC2517" w:rsidRDefault="00DB0D8D">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 </w:t>
      </w:r>
    </w:p>
    <w:p w14:paraId="59DF6736" w14:textId="77777777" w:rsidR="00EC2517" w:rsidRDefault="00DB0D8D">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t>
      </w:r>
    </w:p>
    <w:p w14:paraId="6A877747" w14:textId="77777777" w:rsidR="00EC2517" w:rsidRDefault="00DB0D8D">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69F7D7E0" w14:textId="77777777" w:rsidR="00EC2517" w:rsidRDefault="00DB0D8D">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расчетов….</w:t>
      </w:r>
    </w:p>
    <w:p w14:paraId="64219A98" w14:textId="77777777" w:rsidR="00EC2517" w:rsidRDefault="00DB0D8D">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p>
    <w:p w14:paraId="78349A79" w14:textId="77777777" w:rsidR="00EC2517" w:rsidRDefault="00DB0D8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Выводы</w:t>
      </w:r>
      <w:r>
        <w:rPr>
          <w:rFonts w:ascii="Times New Roman" w:eastAsia="Times New Roman" w:hAnsi="Times New Roman" w:cs="Times New Roman"/>
          <w:sz w:val="28"/>
          <w:szCs w:val="28"/>
        </w:rPr>
        <w:t xml:space="preserve">. Наиболее перспективный способ хранения для России – сжиженный водород, а транспортировка танкерами морским путем или по суше автоцистернам.  </w:t>
      </w:r>
    </w:p>
    <w:p w14:paraId="15170B52" w14:textId="77777777" w:rsidR="00EC2517" w:rsidRDefault="00EC251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301A09E7" w14:textId="77777777" w:rsidR="00EC2517" w:rsidRPr="00CD7A28" w:rsidRDefault="00DB0D8D">
      <w:pPr>
        <w:tabs>
          <w:tab w:val="left" w:pos="1560"/>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ЛИТЕРАТУРА</w:t>
      </w:r>
    </w:p>
    <w:p w14:paraId="71FAB6D6" w14:textId="258EE86A" w:rsidR="00EC2517" w:rsidRPr="00CD7A28" w:rsidRDefault="00DB0D8D" w:rsidP="0083699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CD7A28">
        <w:rPr>
          <w:rFonts w:ascii="Times New Roman" w:eastAsia="Times New Roman" w:hAnsi="Times New Roman" w:cs="Times New Roman"/>
          <w:color w:val="000000"/>
          <w:sz w:val="24"/>
          <w:szCs w:val="24"/>
          <w:lang w:val="en-US"/>
        </w:rPr>
        <w:t>1. The Future of Hydrogen // IEA URL: </w:t>
      </w:r>
      <w:bookmarkStart w:id="1" w:name="_GoBack"/>
      <w:bookmarkEnd w:id="1"/>
      <w:r w:rsidR="00836990">
        <w:rPr>
          <w:rFonts w:ascii="Times New Roman" w:eastAsia="Times New Roman" w:hAnsi="Times New Roman" w:cs="Times New Roman"/>
          <w:color w:val="0563C1"/>
          <w:sz w:val="24"/>
          <w:szCs w:val="24"/>
          <w:u w:val="single"/>
          <w:lang w:val="en-US"/>
        </w:rPr>
        <w:fldChar w:fldCharType="begin"/>
      </w:r>
      <w:r w:rsidR="00836990">
        <w:rPr>
          <w:rFonts w:ascii="Times New Roman" w:eastAsia="Times New Roman" w:hAnsi="Times New Roman" w:cs="Times New Roman"/>
          <w:color w:val="0563C1"/>
          <w:sz w:val="24"/>
          <w:szCs w:val="24"/>
          <w:u w:val="single"/>
          <w:lang w:val="en-US"/>
        </w:rPr>
        <w:instrText xml:space="preserve"> HYPERLINK "</w:instrText>
      </w:r>
      <w:r w:rsidR="00836990" w:rsidRPr="00CD7A28">
        <w:rPr>
          <w:rFonts w:ascii="Times New Roman" w:eastAsia="Times New Roman" w:hAnsi="Times New Roman" w:cs="Times New Roman"/>
          <w:color w:val="0563C1"/>
          <w:sz w:val="24"/>
          <w:szCs w:val="24"/>
          <w:u w:val="single"/>
          <w:lang w:val="en-US"/>
        </w:rPr>
        <w:instrText>https://iea.blob.core.windows.net/assets/8ab 96d80-f2a5-4714-8eb5-7d3c157599a4/English-Future-Hydrogen-ES.pdf</w:instrText>
      </w:r>
      <w:r w:rsidR="00836990">
        <w:rPr>
          <w:rFonts w:ascii="Times New Roman" w:eastAsia="Times New Roman" w:hAnsi="Times New Roman" w:cs="Times New Roman"/>
          <w:color w:val="0563C1"/>
          <w:sz w:val="24"/>
          <w:szCs w:val="24"/>
          <w:u w:val="single"/>
          <w:lang w:val="en-US"/>
        </w:rPr>
        <w:instrText xml:space="preserve">" </w:instrText>
      </w:r>
      <w:r w:rsidR="00836990">
        <w:rPr>
          <w:rFonts w:ascii="Times New Roman" w:eastAsia="Times New Roman" w:hAnsi="Times New Roman" w:cs="Times New Roman"/>
          <w:color w:val="0563C1"/>
          <w:sz w:val="24"/>
          <w:szCs w:val="24"/>
          <w:u w:val="single"/>
          <w:lang w:val="en-US"/>
        </w:rPr>
        <w:fldChar w:fldCharType="separate"/>
      </w:r>
      <w:r w:rsidR="00836990" w:rsidRPr="00D51598">
        <w:rPr>
          <w:rStyle w:val="ab"/>
          <w:rFonts w:ascii="Times New Roman" w:eastAsia="Times New Roman" w:hAnsi="Times New Roman" w:cs="Times New Roman"/>
          <w:sz w:val="24"/>
          <w:szCs w:val="24"/>
          <w:lang w:val="en-US"/>
        </w:rPr>
        <w:t>https://iea.blob.core.windows.net/assets/8ab 96d80-f2a5-4714-8eb5-7d3c157599a4/English-Future-Hydrogen-ES.pdf</w:t>
      </w:r>
      <w:r w:rsidR="00836990">
        <w:rPr>
          <w:rFonts w:ascii="Times New Roman" w:eastAsia="Times New Roman" w:hAnsi="Times New Roman" w:cs="Times New Roman"/>
          <w:color w:val="0563C1"/>
          <w:sz w:val="24"/>
          <w:szCs w:val="24"/>
          <w:u w:val="single"/>
          <w:lang w:val="en-US"/>
        </w:rPr>
        <w:fldChar w:fldCharType="end"/>
      </w:r>
    </w:p>
    <w:p w14:paraId="3A451A5E" w14:textId="77777777" w:rsidR="00EC2517" w:rsidRDefault="00DB0D8D" w:rsidP="008369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Р. В. Радченко, А. С. Мокрушин, В. В. </w:t>
      </w:r>
      <w:proofErr w:type="spellStart"/>
      <w:r>
        <w:rPr>
          <w:rFonts w:ascii="Times New Roman" w:eastAsia="Times New Roman" w:hAnsi="Times New Roman" w:cs="Times New Roman"/>
          <w:color w:val="000000"/>
          <w:sz w:val="24"/>
          <w:szCs w:val="24"/>
        </w:rPr>
        <w:t>Тюльпа</w:t>
      </w:r>
      <w:proofErr w:type="spellEnd"/>
      <w:r>
        <w:rPr>
          <w:rFonts w:ascii="Times New Roman" w:eastAsia="Times New Roman" w:hAnsi="Times New Roman" w:cs="Times New Roman"/>
          <w:color w:val="000000"/>
          <w:sz w:val="24"/>
          <w:szCs w:val="24"/>
        </w:rPr>
        <w:t xml:space="preserve"> Водород в энергетике: учеб. пособие. - Екатеринбург: Изд-во Урал. ун-та, 2014. - 229 с.</w:t>
      </w:r>
    </w:p>
    <w:p w14:paraId="08114DE9" w14:textId="77777777" w:rsidR="00EC2517" w:rsidRDefault="00DB0D8D" w:rsidP="008369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Водородная экономика - путь к низкоуглеродному развитию // Центр энергетики Московской школы управления СКОЛКОВО URL: https://energy.skolkovo.ru/downloads/documents/SEneC/Research/SKOLKOVO_EneC_Hydrogen-economy_Rus.pdf</w:t>
      </w:r>
    </w:p>
    <w:sectPr w:rsidR="00EC2517">
      <w:type w:val="continuous"/>
      <w:pgSz w:w="11906" w:h="16838"/>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2B9CD" w14:textId="77777777" w:rsidR="00E76DE1" w:rsidRDefault="00E76DE1">
      <w:pPr>
        <w:spacing w:after="0" w:line="240" w:lineRule="auto"/>
      </w:pPr>
      <w:r>
        <w:separator/>
      </w:r>
    </w:p>
  </w:endnote>
  <w:endnote w:type="continuationSeparator" w:id="0">
    <w:p w14:paraId="595616A1" w14:textId="77777777" w:rsidR="00E76DE1" w:rsidRDefault="00E76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23D2B03-C71C-4C68-90D8-93C531D2577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6E422F91-6CBC-4EC6-ACBC-DD14B0079EA0}"/>
    <w:embedBold r:id="rId3" w:fontKey="{8176E98C-269E-4A4E-8290-9295D8118B6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32CC084A-BE3F-4648-B29E-1F4AC1EBB276}"/>
  </w:font>
  <w:font w:name="Segoe UI">
    <w:panose1 w:val="020B0502040204020203"/>
    <w:charset w:val="CC"/>
    <w:family w:val="swiss"/>
    <w:pitch w:val="variable"/>
    <w:sig w:usb0="E4002EFF" w:usb1="C000E47F" w:usb2="00000009" w:usb3="00000000" w:csb0="000001FF" w:csb1="00000000"/>
    <w:embedRegular r:id="rId5" w:fontKey="{F4027877-6577-4529-9D44-9F6DAB3847DA}"/>
  </w:font>
  <w:font w:name="Cambria">
    <w:panose1 w:val="02040503050406030204"/>
    <w:charset w:val="CC"/>
    <w:family w:val="roman"/>
    <w:pitch w:val="variable"/>
    <w:sig w:usb0="E00006FF" w:usb1="420024FF" w:usb2="02000000" w:usb3="00000000" w:csb0="0000019F" w:csb1="00000000"/>
    <w:embedRegular r:id="rId6" w:fontKey="{EFDA9C6A-E0D8-423D-8D2A-15A29C3A1EF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D949F" w14:textId="77777777" w:rsidR="00E76DE1" w:rsidRDefault="00E76DE1">
      <w:pPr>
        <w:spacing w:after="0" w:line="240" w:lineRule="auto"/>
      </w:pPr>
      <w:r>
        <w:separator/>
      </w:r>
    </w:p>
  </w:footnote>
  <w:footnote w:type="continuationSeparator" w:id="0">
    <w:p w14:paraId="29ABA1B2" w14:textId="77777777" w:rsidR="00E76DE1" w:rsidRDefault="00E76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2026" w14:textId="77777777" w:rsidR="00EC2517" w:rsidRDefault="00EC25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03A5A987" w14:textId="77777777" w:rsidR="00EC2517" w:rsidRDefault="00EC2517">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B6BDC"/>
    <w:multiLevelType w:val="multilevel"/>
    <w:tmpl w:val="49329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4A5BA1"/>
    <w:multiLevelType w:val="multilevel"/>
    <w:tmpl w:val="147C1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E351FA"/>
    <w:multiLevelType w:val="multilevel"/>
    <w:tmpl w:val="3D8C9EE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7C595C"/>
    <w:multiLevelType w:val="multilevel"/>
    <w:tmpl w:val="E7426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485DE4"/>
    <w:multiLevelType w:val="multilevel"/>
    <w:tmpl w:val="5DF84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517"/>
    <w:rsid w:val="000D1250"/>
    <w:rsid w:val="0018649C"/>
    <w:rsid w:val="001E50FF"/>
    <w:rsid w:val="00227D58"/>
    <w:rsid w:val="004343F5"/>
    <w:rsid w:val="0072100E"/>
    <w:rsid w:val="00836990"/>
    <w:rsid w:val="009C013A"/>
    <w:rsid w:val="00A745ED"/>
    <w:rsid w:val="00B163A1"/>
    <w:rsid w:val="00CD7A28"/>
    <w:rsid w:val="00CE79B3"/>
    <w:rsid w:val="00CF621F"/>
    <w:rsid w:val="00DB0D8D"/>
    <w:rsid w:val="00E76DE1"/>
    <w:rsid w:val="00E82C2D"/>
    <w:rsid w:val="00EC2517"/>
    <w:rsid w:val="00FF6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99CC8"/>
  <w15:docId w15:val="{F4AE4DB2-FB69-454C-BD3D-656925ED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0" w:type="dxa"/>
        <w:left w:w="0" w:type="dxa"/>
        <w:bottom w:w="0" w:type="dxa"/>
        <w:right w:w="0" w:type="dxa"/>
      </w:tblCellMar>
    </w:tblPr>
  </w:style>
  <w:style w:type="paragraph" w:styleId="a7">
    <w:name w:val="header"/>
    <w:basedOn w:val="a"/>
    <w:link w:val="a8"/>
    <w:uiPriority w:val="99"/>
    <w:unhideWhenUsed/>
    <w:rsid w:val="00CD7A2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7A28"/>
  </w:style>
  <w:style w:type="paragraph" w:styleId="a9">
    <w:name w:val="footer"/>
    <w:basedOn w:val="a"/>
    <w:link w:val="aa"/>
    <w:uiPriority w:val="99"/>
    <w:unhideWhenUsed/>
    <w:rsid w:val="00CD7A2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7A28"/>
  </w:style>
  <w:style w:type="character" w:styleId="ab">
    <w:name w:val="Hyperlink"/>
    <w:basedOn w:val="a0"/>
    <w:uiPriority w:val="99"/>
    <w:unhideWhenUsed/>
    <w:rsid w:val="00E82C2D"/>
    <w:rPr>
      <w:color w:val="0000FF" w:themeColor="hyperlink"/>
      <w:u w:val="single"/>
    </w:rPr>
  </w:style>
  <w:style w:type="character" w:customStyle="1" w:styleId="10">
    <w:name w:val="Неразрешенное упоминание1"/>
    <w:basedOn w:val="a0"/>
    <w:uiPriority w:val="99"/>
    <w:semiHidden/>
    <w:unhideWhenUsed/>
    <w:rsid w:val="00E82C2D"/>
    <w:rPr>
      <w:color w:val="605E5C"/>
      <w:shd w:val="clear" w:color="auto" w:fill="E1DFDD"/>
    </w:rPr>
  </w:style>
  <w:style w:type="paragraph" w:styleId="ac">
    <w:name w:val="Balloon Text"/>
    <w:basedOn w:val="a"/>
    <w:link w:val="ad"/>
    <w:uiPriority w:val="99"/>
    <w:semiHidden/>
    <w:unhideWhenUsed/>
    <w:rsid w:val="000D125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D1250"/>
    <w:rPr>
      <w:rFonts w:ascii="Segoe UI" w:hAnsi="Segoe UI" w:cs="Segoe UI"/>
      <w:sz w:val="18"/>
      <w:szCs w:val="18"/>
    </w:rPr>
  </w:style>
  <w:style w:type="paragraph" w:styleId="ae">
    <w:name w:val="Revision"/>
    <w:hidden/>
    <w:uiPriority w:val="99"/>
    <w:semiHidden/>
    <w:rsid w:val="00227D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z79+a156q01ETIPnehyNou3vsg==">CgMxLjAyDmgudWc5dXQzZmhlZ3NxOAByITFXcV9tSnNwNF9wZl9UejFOcDBEbmpkeTBsY3NXU0g5bg==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3520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2026-05-25T15:13:00Z</dcterms:created>
  <dcterms:modified xsi:type="dcterms:W3CDTF">2026-05-25T15:13:00Z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0x0101007F6DF0B13A8E6B46962D880E219CA9AD</vt:lpwstr>
  </property>
</Properties>
</file>